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contextualSpacing/>
        <w:jc w:val="left"/>
        <w:rPr>
          <w:rFonts w:hint="eastAsia" w:ascii="仿宋_GB2312" w:eastAsia="仿宋_GB2312" w:cs="楷体_GB2312"/>
          <w:kern w:val="0"/>
          <w:sz w:val="28"/>
          <w:szCs w:val="28"/>
          <w:u w:val="none"/>
          <w:lang w:eastAsia="zh-CN"/>
        </w:rPr>
      </w:pPr>
      <w:r>
        <w:rPr>
          <w:rFonts w:hint="eastAsia" w:ascii="仿宋_GB2312" w:eastAsia="仿宋_GB2312" w:cs="楷体_GB2312"/>
          <w:kern w:val="0"/>
          <w:sz w:val="28"/>
          <w:szCs w:val="28"/>
          <w:u w:val="none"/>
          <w:lang w:eastAsia="zh-CN"/>
        </w:rPr>
        <w:t>附件一：</w:t>
      </w:r>
    </w:p>
    <w:p>
      <w:pPr>
        <w:autoSpaceDE w:val="0"/>
        <w:autoSpaceDN w:val="0"/>
        <w:adjustRightInd w:val="0"/>
        <w:spacing w:line="400" w:lineRule="exact"/>
        <w:ind w:firstLine="560" w:firstLineChars="200"/>
        <w:contextualSpacing/>
        <w:jc w:val="center"/>
        <w:rPr>
          <w:rFonts w:hint="eastAsia" w:ascii="仿宋_GB2312" w:eastAsia="仿宋_GB2312" w:cs="楷体_GB2312"/>
          <w:color w:val="auto"/>
          <w:kern w:val="0"/>
          <w:sz w:val="28"/>
          <w:szCs w:val="28"/>
          <w:u w:val="none"/>
          <w:lang w:eastAsia="zh-CN"/>
        </w:rPr>
      </w:pPr>
      <w:r>
        <w:rPr>
          <w:rFonts w:hint="eastAsia" w:ascii="仿宋_GB2312" w:eastAsia="仿宋_GB2312" w:cs="楷体_GB2312"/>
          <w:color w:val="auto"/>
          <w:kern w:val="0"/>
          <w:sz w:val="28"/>
          <w:szCs w:val="28"/>
          <w:u w:val="none"/>
          <w:lang w:eastAsia="zh-CN"/>
        </w:rPr>
        <w:t>福建福维股份有限公司高端新材料项目用                                  宗地（地块一）上所有建筑及附属物拆除项目要求</w:t>
      </w:r>
    </w:p>
    <w:p>
      <w:pPr>
        <w:autoSpaceDE w:val="0"/>
        <w:autoSpaceDN w:val="0"/>
        <w:adjustRightInd w:val="0"/>
        <w:spacing w:line="400" w:lineRule="exact"/>
        <w:ind w:firstLine="560" w:firstLineChars="200"/>
        <w:contextualSpacing/>
        <w:jc w:val="center"/>
        <w:rPr>
          <w:rFonts w:hint="eastAsia" w:ascii="仿宋_GB2312" w:eastAsia="仿宋_GB2312" w:cs="楷体_GB2312"/>
          <w:color w:val="auto"/>
          <w:kern w:val="0"/>
          <w:sz w:val="28"/>
          <w:szCs w:val="28"/>
          <w:u w:val="none"/>
          <w:lang w:val="en-US" w:eastAsia="zh-CN"/>
        </w:rPr>
      </w:pPr>
    </w:p>
    <w:p>
      <w:pPr>
        <w:numPr>
          <w:ilvl w:val="0"/>
          <w:numId w:val="1"/>
        </w:numPr>
        <w:autoSpaceDE w:val="0"/>
        <w:autoSpaceDN w:val="0"/>
        <w:adjustRightInd w:val="0"/>
        <w:spacing w:line="400" w:lineRule="exact"/>
        <w:contextualSpacing/>
        <w:jc w:val="left"/>
        <w:rPr>
          <w:rFonts w:hint="eastAsia" w:ascii="仿宋_GB2312" w:eastAsia="仿宋_GB2312" w:cs="楷体_GB2312"/>
          <w:color w:val="auto"/>
          <w:kern w:val="0"/>
          <w:sz w:val="28"/>
          <w:szCs w:val="28"/>
          <w:u w:val="none"/>
          <w:lang w:val="en-US" w:eastAsia="zh-CN"/>
        </w:rPr>
      </w:pPr>
      <w:r>
        <w:rPr>
          <w:rFonts w:hint="eastAsia" w:ascii="仿宋_GB2312" w:eastAsia="仿宋_GB2312" w:cs="楷体_GB2312"/>
          <w:color w:val="auto"/>
          <w:kern w:val="0"/>
          <w:sz w:val="28"/>
          <w:szCs w:val="28"/>
          <w:u w:val="none"/>
          <w:lang w:val="en-US" w:eastAsia="zh-CN"/>
        </w:rPr>
        <w:t>红线图内所有建筑物均拆除(特别指定除外）。主要建筑如：水泥厂办公楼、水泥厂厂房、原料仓、成品仓、乙炔站厂房、电石厂厂房、储仓、煤棚、铁轨（4#、5#）、石灰窑、电石厂办公楼、澡堂、电石中转库、水泥电石烟囱等，具体现场确认为准。主要建筑物见附件三、红线图见附件四。</w:t>
      </w:r>
    </w:p>
    <w:p>
      <w:pPr>
        <w:numPr>
          <w:ilvl w:val="0"/>
          <w:numId w:val="1"/>
        </w:numPr>
        <w:autoSpaceDE w:val="0"/>
        <w:autoSpaceDN w:val="0"/>
        <w:adjustRightInd w:val="0"/>
        <w:spacing w:line="400" w:lineRule="exact"/>
        <w:ind w:left="0" w:leftChars="0" w:firstLine="0" w:firstLineChars="0"/>
        <w:contextualSpacing/>
        <w:jc w:val="left"/>
        <w:rPr>
          <w:rFonts w:hint="eastAsia" w:ascii="仿宋_GB2312" w:eastAsia="仿宋_GB2312" w:cs="楷体_GB2312"/>
          <w:color w:val="auto"/>
          <w:kern w:val="0"/>
          <w:sz w:val="28"/>
          <w:szCs w:val="28"/>
          <w:u w:val="none"/>
          <w:lang w:val="en-US" w:eastAsia="zh-CN"/>
        </w:rPr>
      </w:pPr>
      <w:r>
        <w:rPr>
          <w:rFonts w:hint="eastAsia" w:ascii="仿宋_GB2312" w:eastAsia="仿宋_GB2312" w:cs="楷体_GB2312"/>
          <w:color w:val="auto"/>
          <w:kern w:val="0"/>
          <w:sz w:val="28"/>
          <w:szCs w:val="28"/>
          <w:u w:val="none"/>
          <w:lang w:val="en-US" w:eastAsia="zh-CN"/>
        </w:rPr>
        <w:t>红线图外的部分建筑物在现场确认时由甲方指定拆除（主要是东北角原电石中转库一幢两层房屋以及个别甲方所属旧电线杆、原有机醇解V、</w:t>
      </w:r>
      <w:bookmarkStart w:id="0" w:name="_GoBack"/>
      <w:bookmarkEnd w:id="0"/>
      <w:r>
        <w:rPr>
          <w:rFonts w:hint="eastAsia" w:ascii="仿宋_GB2312" w:eastAsia="仿宋_GB2312" w:cs="楷体_GB2312"/>
          <w:color w:val="auto"/>
          <w:kern w:val="0"/>
          <w:sz w:val="28"/>
          <w:szCs w:val="28"/>
          <w:u w:val="none"/>
          <w:lang w:val="en-US" w:eastAsia="zh-CN"/>
        </w:rPr>
        <w:t>VI列树脂槽水泥基础及防火提的拆除）。</w:t>
      </w:r>
    </w:p>
    <w:p>
      <w:pPr>
        <w:numPr>
          <w:ilvl w:val="0"/>
          <w:numId w:val="1"/>
        </w:numPr>
        <w:autoSpaceDE w:val="0"/>
        <w:autoSpaceDN w:val="0"/>
        <w:adjustRightInd w:val="0"/>
        <w:spacing w:line="400" w:lineRule="exact"/>
        <w:contextualSpacing/>
        <w:jc w:val="left"/>
        <w:rPr>
          <w:rFonts w:hint="default" w:ascii="仿宋_GB2312" w:eastAsia="仿宋_GB2312" w:cs="楷体_GB2312"/>
          <w:color w:val="auto"/>
          <w:kern w:val="0"/>
          <w:sz w:val="28"/>
          <w:szCs w:val="28"/>
          <w:u w:val="none"/>
          <w:lang w:val="en-US" w:eastAsia="zh-CN"/>
        </w:rPr>
      </w:pPr>
      <w:r>
        <w:rPr>
          <w:rFonts w:hint="eastAsia" w:ascii="仿宋_GB2312" w:eastAsia="仿宋_GB2312" w:cs="楷体_GB2312"/>
          <w:color w:val="auto"/>
          <w:kern w:val="0"/>
          <w:sz w:val="28"/>
          <w:szCs w:val="28"/>
          <w:u w:val="none"/>
          <w:lang w:val="en-US" w:eastAsia="zh-CN"/>
        </w:rPr>
        <w:t>所有建筑物拆除高度与建筑地面平齐。</w:t>
      </w:r>
    </w:p>
    <w:p>
      <w:pPr>
        <w:numPr>
          <w:ilvl w:val="0"/>
          <w:numId w:val="1"/>
        </w:numPr>
        <w:autoSpaceDE w:val="0"/>
        <w:autoSpaceDN w:val="0"/>
        <w:adjustRightInd w:val="0"/>
        <w:spacing w:line="400" w:lineRule="exact"/>
        <w:contextualSpacing/>
        <w:jc w:val="left"/>
        <w:rPr>
          <w:rFonts w:hint="default" w:ascii="仿宋_GB2312" w:eastAsia="仿宋_GB2312" w:cs="楷体_GB2312"/>
          <w:color w:val="auto"/>
          <w:kern w:val="0"/>
          <w:sz w:val="28"/>
          <w:szCs w:val="28"/>
          <w:u w:val="none"/>
          <w:lang w:val="en-US" w:eastAsia="zh-CN"/>
        </w:rPr>
      </w:pPr>
      <w:r>
        <w:rPr>
          <w:rFonts w:hint="eastAsia" w:ascii="仿宋_GB2312" w:eastAsia="仿宋_GB2312" w:cs="楷体_GB2312"/>
          <w:color w:val="auto"/>
          <w:kern w:val="0"/>
          <w:sz w:val="28"/>
          <w:szCs w:val="28"/>
          <w:u w:val="none"/>
          <w:lang w:val="en-US" w:eastAsia="zh-CN"/>
        </w:rPr>
        <w:t>拆除后的建筑垃圾及房间、库房内的原有垃圾均需清理干净运至指定场所（1#渣池或招标方指定别的场地）填埋、整平、压实。</w:t>
      </w:r>
    </w:p>
    <w:p>
      <w:pPr>
        <w:numPr>
          <w:ilvl w:val="0"/>
          <w:numId w:val="1"/>
        </w:numPr>
        <w:autoSpaceDE w:val="0"/>
        <w:autoSpaceDN w:val="0"/>
        <w:adjustRightInd w:val="0"/>
        <w:spacing w:line="400" w:lineRule="exact"/>
        <w:contextualSpacing/>
        <w:jc w:val="left"/>
        <w:rPr>
          <w:rFonts w:hint="default" w:ascii="仿宋_GB2312" w:eastAsia="仿宋_GB2312" w:cs="楷体_GB2312"/>
          <w:b w:val="0"/>
          <w:bCs w:val="0"/>
          <w:color w:val="auto"/>
          <w:kern w:val="0"/>
          <w:sz w:val="28"/>
          <w:szCs w:val="28"/>
          <w:u w:val="none"/>
          <w:lang w:val="en-US" w:eastAsia="zh-CN"/>
        </w:rPr>
      </w:pPr>
      <w:r>
        <w:rPr>
          <w:rFonts w:hint="default" w:ascii="仿宋_GB2312" w:eastAsia="仿宋_GB2312" w:cs="楷体_GB2312"/>
          <w:color w:val="auto"/>
          <w:kern w:val="0"/>
          <w:sz w:val="28"/>
          <w:szCs w:val="28"/>
          <w:u w:val="none"/>
          <w:lang w:val="en-US" w:eastAsia="zh-CN"/>
        </w:rPr>
        <w:t>现场归福维公司需要回收的设备：</w:t>
      </w:r>
      <w:r>
        <w:rPr>
          <w:rFonts w:hint="eastAsia" w:ascii="仿宋_GB2312" w:eastAsia="仿宋_GB2312" w:cs="楷体_GB2312"/>
          <w:color w:val="auto"/>
          <w:kern w:val="0"/>
          <w:sz w:val="28"/>
          <w:szCs w:val="28"/>
          <w:u w:val="none"/>
          <w:lang w:val="en-US" w:eastAsia="zh-CN"/>
        </w:rPr>
        <w:t>电石厂变压器、</w:t>
      </w:r>
      <w:r>
        <w:rPr>
          <w:rFonts w:hint="default" w:ascii="仿宋_GB2312" w:eastAsia="仿宋_GB2312" w:cs="楷体_GB2312"/>
          <w:color w:val="auto"/>
          <w:kern w:val="0"/>
          <w:sz w:val="28"/>
          <w:szCs w:val="28"/>
          <w:u w:val="none"/>
          <w:lang w:val="en-US" w:eastAsia="zh-CN"/>
        </w:rPr>
        <w:t>电石厂4#、5#铁轨及4#线水泥枕木，需由中标方完整无损拆除后运至福维公司大库及指定地点码放整齐</w:t>
      </w:r>
      <w:r>
        <w:rPr>
          <w:rFonts w:hint="eastAsia" w:ascii="仿宋_GB2312" w:eastAsia="仿宋_GB2312" w:cs="楷体_GB2312"/>
          <w:color w:val="auto"/>
          <w:kern w:val="0"/>
          <w:sz w:val="28"/>
          <w:szCs w:val="28"/>
          <w:u w:val="none"/>
          <w:lang w:val="en-US" w:eastAsia="zh-CN"/>
        </w:rPr>
        <w:t>; 其余设备、管线归中标方以料抵工报价。</w:t>
      </w:r>
      <w:r>
        <w:rPr>
          <w:rFonts w:hint="eastAsia" w:ascii="仿宋_GB2312" w:eastAsia="仿宋_GB2312" w:cs="楷体_GB2312"/>
          <w:b w:val="0"/>
          <w:bCs w:val="0"/>
          <w:color w:val="auto"/>
          <w:kern w:val="0"/>
          <w:sz w:val="28"/>
          <w:szCs w:val="28"/>
          <w:u w:val="none"/>
          <w:lang w:val="en-US" w:eastAsia="zh-CN"/>
        </w:rPr>
        <w:t>主要设备清单见附件二。</w:t>
      </w:r>
    </w:p>
    <w:p>
      <w:pPr>
        <w:numPr>
          <w:ilvl w:val="0"/>
          <w:numId w:val="1"/>
        </w:numPr>
        <w:autoSpaceDE w:val="0"/>
        <w:autoSpaceDN w:val="0"/>
        <w:adjustRightInd w:val="0"/>
        <w:spacing w:line="400" w:lineRule="exact"/>
        <w:contextualSpacing/>
        <w:jc w:val="left"/>
        <w:rPr>
          <w:rFonts w:hint="default" w:ascii="仿宋_GB2312" w:eastAsia="仿宋_GB2312" w:cs="楷体_GB2312"/>
          <w:color w:val="auto"/>
          <w:kern w:val="0"/>
          <w:sz w:val="28"/>
          <w:szCs w:val="28"/>
          <w:u w:val="none"/>
          <w:lang w:val="en-US" w:eastAsia="zh-CN"/>
        </w:rPr>
      </w:pPr>
      <w:r>
        <w:rPr>
          <w:rFonts w:hint="eastAsia" w:ascii="仿宋_GB2312" w:eastAsia="仿宋_GB2312" w:cs="楷体_GB2312"/>
          <w:color w:val="auto"/>
          <w:kern w:val="0"/>
          <w:sz w:val="28"/>
          <w:szCs w:val="28"/>
          <w:u w:val="none"/>
          <w:lang w:val="en-US" w:eastAsia="zh-CN"/>
        </w:rPr>
        <w:t>红线图内不拆的建筑和设备：乙炔站变电所厂房、变压器房、DCS控制室、厕所及其所有电气设备、管线。在拆除周边建筑时须做好保护措施，严禁损坏变电所房屋及其设备。通往电石、水泥变电所的主电缆不在拆除范围。</w:t>
      </w:r>
    </w:p>
    <w:p>
      <w:pPr>
        <w:numPr>
          <w:ilvl w:val="0"/>
          <w:numId w:val="1"/>
        </w:numPr>
        <w:autoSpaceDE w:val="0"/>
        <w:autoSpaceDN w:val="0"/>
        <w:adjustRightInd w:val="0"/>
        <w:spacing w:line="400" w:lineRule="exact"/>
        <w:contextualSpacing/>
        <w:jc w:val="left"/>
        <w:rPr>
          <w:rFonts w:hint="default" w:ascii="仿宋_GB2312" w:eastAsia="仿宋_GB2312" w:cs="楷体_GB2312"/>
          <w:color w:val="auto"/>
          <w:kern w:val="0"/>
          <w:sz w:val="28"/>
          <w:szCs w:val="28"/>
          <w:u w:val="none"/>
          <w:lang w:val="en-US" w:eastAsia="zh-CN"/>
        </w:rPr>
      </w:pPr>
      <w:r>
        <w:rPr>
          <w:rFonts w:hint="eastAsia" w:ascii="仿宋_GB2312" w:eastAsia="仿宋_GB2312" w:cs="楷体_GB2312"/>
          <w:color w:val="auto"/>
          <w:kern w:val="0"/>
          <w:sz w:val="28"/>
          <w:szCs w:val="28"/>
          <w:u w:val="none"/>
          <w:lang w:val="en-US" w:eastAsia="zh-CN"/>
        </w:rPr>
        <w:t>拆除区域内树木不得损毁。</w:t>
      </w:r>
    </w:p>
    <w:p>
      <w:pPr>
        <w:numPr>
          <w:ilvl w:val="0"/>
          <w:numId w:val="1"/>
        </w:numPr>
        <w:autoSpaceDE w:val="0"/>
        <w:autoSpaceDN w:val="0"/>
        <w:adjustRightInd w:val="0"/>
        <w:spacing w:line="400" w:lineRule="exact"/>
        <w:contextualSpacing/>
        <w:jc w:val="left"/>
        <w:rPr>
          <w:rFonts w:hint="default" w:ascii="仿宋_GB2312" w:eastAsia="仿宋_GB2312" w:cs="楷体_GB2312"/>
          <w:color w:val="auto"/>
          <w:kern w:val="0"/>
          <w:sz w:val="28"/>
          <w:szCs w:val="28"/>
          <w:u w:val="none"/>
          <w:lang w:val="en-US" w:eastAsia="zh-CN"/>
        </w:rPr>
      </w:pPr>
      <w:r>
        <w:rPr>
          <w:rFonts w:hint="eastAsia" w:ascii="仿宋_GB2312" w:eastAsia="仿宋_GB2312" w:cs="楷体_GB2312"/>
          <w:color w:val="auto"/>
          <w:kern w:val="0"/>
          <w:sz w:val="28"/>
          <w:szCs w:val="28"/>
          <w:u w:val="none"/>
          <w:lang w:val="en-US" w:eastAsia="zh-CN"/>
        </w:rPr>
        <w:t>电石原料堆场行吊下基础须拆除。</w:t>
      </w:r>
    </w:p>
    <w:p>
      <w:pPr>
        <w:numPr>
          <w:ilvl w:val="0"/>
          <w:numId w:val="1"/>
        </w:numPr>
        <w:autoSpaceDE w:val="0"/>
        <w:autoSpaceDN w:val="0"/>
        <w:adjustRightInd w:val="0"/>
        <w:spacing w:line="400" w:lineRule="exact"/>
        <w:contextualSpacing/>
        <w:jc w:val="left"/>
        <w:rPr>
          <w:rFonts w:hint="default" w:ascii="仿宋_GB2312" w:eastAsia="仿宋_GB2312" w:cs="楷体_GB2312"/>
          <w:color w:val="auto"/>
          <w:kern w:val="0"/>
          <w:sz w:val="28"/>
          <w:szCs w:val="28"/>
          <w:u w:val="none"/>
          <w:lang w:val="en-US" w:eastAsia="zh-CN"/>
        </w:rPr>
      </w:pPr>
      <w:r>
        <w:rPr>
          <w:rFonts w:hint="default" w:ascii="仿宋_GB2312" w:eastAsia="仿宋_GB2312" w:cs="楷体_GB2312"/>
          <w:color w:val="auto"/>
          <w:kern w:val="0"/>
          <w:sz w:val="28"/>
          <w:szCs w:val="28"/>
          <w:u w:val="none"/>
          <w:lang w:val="en-US" w:eastAsia="zh-CN"/>
        </w:rPr>
        <w:t>拆除过程中，需要严格遵守相关法律法规要求。大型破碎机械不得上结构物拆除，应在结构物侧面进行拆除作业。当起重机械需在楼（屋）面上进行吊装作业时，应对承载结构进行承载力计算。</w:t>
      </w:r>
    </w:p>
    <w:p>
      <w:pPr>
        <w:numPr>
          <w:ilvl w:val="0"/>
          <w:numId w:val="1"/>
        </w:numPr>
        <w:autoSpaceDE w:val="0"/>
        <w:autoSpaceDN w:val="0"/>
        <w:adjustRightInd w:val="0"/>
        <w:spacing w:line="400" w:lineRule="exact"/>
        <w:ind w:left="0" w:leftChars="0" w:firstLine="0" w:firstLineChars="0"/>
        <w:contextualSpacing/>
        <w:jc w:val="left"/>
        <w:rPr>
          <w:rFonts w:hint="default" w:ascii="仿宋_GB2312" w:eastAsia="仿宋_GB2312" w:cs="楷体_GB2312"/>
          <w:color w:val="auto"/>
          <w:kern w:val="0"/>
          <w:sz w:val="28"/>
          <w:szCs w:val="28"/>
          <w:u w:val="none"/>
          <w:lang w:val="en-US" w:eastAsia="zh-CN"/>
        </w:rPr>
      </w:pPr>
      <w:r>
        <w:rPr>
          <w:rFonts w:hint="default" w:ascii="仿宋_GB2312" w:eastAsia="仿宋_GB2312" w:cs="楷体_GB2312"/>
          <w:color w:val="auto"/>
          <w:kern w:val="0"/>
          <w:sz w:val="28"/>
          <w:szCs w:val="28"/>
          <w:u w:val="none"/>
          <w:lang w:val="en-US" w:eastAsia="zh-CN"/>
        </w:rPr>
        <w:t>乙方需向甲方提供详细的拆除流程说明，包括前期准备、现场勘察情况、拆除方案、安全措施、落实拆除施工、后期清理等环节。</w:t>
      </w:r>
    </w:p>
    <w:p>
      <w:pPr>
        <w:numPr>
          <w:ilvl w:val="0"/>
          <w:numId w:val="0"/>
        </w:numPr>
        <w:autoSpaceDE w:val="0"/>
        <w:autoSpaceDN w:val="0"/>
        <w:adjustRightInd w:val="0"/>
        <w:spacing w:line="400" w:lineRule="exact"/>
        <w:ind w:leftChars="0"/>
        <w:contextualSpacing/>
        <w:jc w:val="left"/>
        <w:rPr>
          <w:rFonts w:hint="default" w:ascii="仿宋_GB2312" w:eastAsia="仿宋_GB2312" w:cs="楷体_GB2312"/>
          <w:color w:val="auto"/>
          <w:kern w:val="0"/>
          <w:sz w:val="28"/>
          <w:szCs w:val="28"/>
          <w:u w:val="none"/>
          <w:lang w:val="en-US" w:eastAsia="zh-CN"/>
        </w:rPr>
      </w:pPr>
    </w:p>
    <w:p>
      <w:pPr>
        <w:numPr>
          <w:ilvl w:val="0"/>
          <w:numId w:val="0"/>
        </w:numPr>
        <w:autoSpaceDE w:val="0"/>
        <w:autoSpaceDN w:val="0"/>
        <w:adjustRightInd w:val="0"/>
        <w:spacing w:line="400" w:lineRule="exact"/>
        <w:contextualSpacing/>
        <w:jc w:val="left"/>
        <w:rPr>
          <w:rFonts w:hint="default" w:ascii="仿宋_GB2312" w:eastAsia="仿宋_GB2312" w:cs="楷体_GB2312"/>
          <w:kern w:val="0"/>
          <w:sz w:val="28"/>
          <w:szCs w:val="28"/>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57CCB"/>
    <w:multiLevelType w:val="singleLevel"/>
    <w:tmpl w:val="67C57C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F5362"/>
    <w:rsid w:val="00AA22DE"/>
    <w:rsid w:val="07E30E65"/>
    <w:rsid w:val="0935251D"/>
    <w:rsid w:val="0BFF26A6"/>
    <w:rsid w:val="110A4860"/>
    <w:rsid w:val="169D292A"/>
    <w:rsid w:val="16BD15C5"/>
    <w:rsid w:val="17E679AF"/>
    <w:rsid w:val="1D313514"/>
    <w:rsid w:val="1E7D69CA"/>
    <w:rsid w:val="2CF648A4"/>
    <w:rsid w:val="2F4E36B7"/>
    <w:rsid w:val="2F8C09BB"/>
    <w:rsid w:val="301950B4"/>
    <w:rsid w:val="34DF5362"/>
    <w:rsid w:val="35EA2A08"/>
    <w:rsid w:val="3A5B2D3C"/>
    <w:rsid w:val="42E71E1E"/>
    <w:rsid w:val="4451732F"/>
    <w:rsid w:val="4B3B0406"/>
    <w:rsid w:val="4B805A4A"/>
    <w:rsid w:val="4EB94C92"/>
    <w:rsid w:val="4F135990"/>
    <w:rsid w:val="4FE74F7F"/>
    <w:rsid w:val="52F154AC"/>
    <w:rsid w:val="54C37371"/>
    <w:rsid w:val="584968F3"/>
    <w:rsid w:val="5ABD6DE2"/>
    <w:rsid w:val="601C4E2F"/>
    <w:rsid w:val="613F0764"/>
    <w:rsid w:val="63716991"/>
    <w:rsid w:val="64222CFC"/>
    <w:rsid w:val="6F5E4C8E"/>
    <w:rsid w:val="74810B02"/>
    <w:rsid w:val="7497318C"/>
    <w:rsid w:val="74BB6712"/>
    <w:rsid w:val="7769018C"/>
    <w:rsid w:val="78D35A30"/>
    <w:rsid w:val="7C5E4619"/>
    <w:rsid w:val="7CD24479"/>
    <w:rsid w:val="7D3B1E45"/>
    <w:rsid w:val="7EFC0A04"/>
    <w:rsid w:val="7F833CC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2024-07-17T07:44:00Z</dcterms:created>
  <dc:creator>Administrator</dc:creator>
  <cp:lastModifiedBy>饶启孙(raoqs)</cp:lastModifiedBy>
  <cp:lastPrinted>2024-08-06T07:15:44Z</cp:lastPrinted>
  <dcterms:modified xsi:type="dcterms:W3CDTF">2024-08-06T08:56:48Z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